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DD12F" w14:textId="6914A96D" w:rsidR="00705C7D" w:rsidRDefault="0089377C">
      <w:r>
        <w:t>TENANT REQUESTS FOR RENT REDUCTION</w:t>
      </w:r>
    </w:p>
    <w:p w14:paraId="58B4B8B3" w14:textId="5C0D567D" w:rsidR="0089377C" w:rsidRDefault="0089377C" w:rsidP="0089377C">
      <w:pPr>
        <w:pStyle w:val="NoSpacing"/>
      </w:pPr>
      <w:r>
        <w:t xml:space="preserve">A survey of Landlords by Tom Fritz of Stan Johnson </w:t>
      </w:r>
    </w:p>
    <w:p w14:paraId="0B550196" w14:textId="572A893E" w:rsidR="0089377C" w:rsidRDefault="0089377C" w:rsidP="0089377C">
      <w:pPr>
        <w:pStyle w:val="NoSpacing"/>
      </w:pPr>
    </w:p>
    <w:p w14:paraId="67F91CB6" w14:textId="06BBD44D" w:rsidR="0089377C" w:rsidRDefault="0089377C" w:rsidP="0089377C">
      <w:pPr>
        <w:shd w:val="clear" w:color="auto" w:fill="FFFFFF"/>
      </w:pPr>
      <w:r>
        <w:rPr>
          <w:color w:val="000000"/>
        </w:rPr>
        <w:t>We surveyed Landlords and brokers from around the country to try and give our clients ideas on how to best navigate Tenant requests for rent reduction. See below for info we thought would be useful to you.  </w:t>
      </w:r>
    </w:p>
    <w:p w14:paraId="5EBE5ADF" w14:textId="6ECC4E1C" w:rsidR="0089377C" w:rsidRDefault="0089377C" w:rsidP="0089377C">
      <w:r>
        <w:t>The one theme I saw is most Landlords are analyzing Tenants on a case by case basis. One of the best quotes I received from a developer was along the lines of: “Tenant, I understand your troubles and I’m here to help you where I can. Keep in mind that we are both running separate businesses here. I don’t share in your excess profit when you have good months, and I don’t expect to provide discounts when you have slow months. I have bills to pay, just like you do. Buck up.” </w:t>
      </w:r>
    </w:p>
    <w:p w14:paraId="6D032375" w14:textId="2EDD7498" w:rsidR="0089377C" w:rsidRDefault="0089377C" w:rsidP="0089377C">
      <w:r>
        <w:t>Most Tenants appear to be asking for 60-90 days. We don’t yet know how lenders are responding. Look for more info in the future from me on that. The Tenants mentioned below are only those we have heard directly about. There are many others, we just don’t have confirmation on them specifically.  </w:t>
      </w:r>
    </w:p>
    <w:p w14:paraId="2C742E40" w14:textId="77777777" w:rsidR="0089377C" w:rsidRDefault="0089377C" w:rsidP="0089377C">
      <w:r>
        <w:rPr>
          <w:u w:val="single"/>
        </w:rPr>
        <w:t>Tenant Rent Relief Strategies:</w:t>
      </w:r>
    </w:p>
    <w:p w14:paraId="001F12B6" w14:textId="77777777" w:rsidR="0089377C" w:rsidRDefault="0089377C" w:rsidP="0089377C">
      <w:pPr>
        <w:pStyle w:val="ListParagraph"/>
        <w:numPr>
          <w:ilvl w:val="0"/>
          <w:numId w:val="1"/>
        </w:numPr>
        <w:spacing w:after="0" w:line="240" w:lineRule="auto"/>
      </w:pPr>
      <w:r>
        <w:rPr>
          <w:color w:val="FF0000"/>
        </w:rPr>
        <w:t xml:space="preserve">Provide </w:t>
      </w:r>
      <w:proofErr w:type="gramStart"/>
      <w:r>
        <w:rPr>
          <w:color w:val="FF0000"/>
        </w:rPr>
        <w:t>90 day</w:t>
      </w:r>
      <w:proofErr w:type="gramEnd"/>
      <w:r>
        <w:rPr>
          <w:color w:val="FF0000"/>
        </w:rPr>
        <w:t xml:space="preserve"> free rent in exchange for taking lease from NN to absolute NNN (this is my favorite if you can do it)</w:t>
      </w:r>
    </w:p>
    <w:p w14:paraId="431D9234" w14:textId="77777777" w:rsidR="0089377C" w:rsidRDefault="0089377C" w:rsidP="0089377C">
      <w:pPr>
        <w:pStyle w:val="ListParagraph"/>
        <w:numPr>
          <w:ilvl w:val="0"/>
          <w:numId w:val="1"/>
        </w:numPr>
        <w:spacing w:after="0" w:line="240" w:lineRule="auto"/>
      </w:pPr>
      <w:r>
        <w:t>Tell Tenant to take out one of Trump’s new small business loans at 2.75% (+/-) with no money due for 12 months</w:t>
      </w:r>
    </w:p>
    <w:p w14:paraId="607EB6AC" w14:textId="77777777" w:rsidR="0089377C" w:rsidRDefault="0089377C" w:rsidP="0089377C">
      <w:pPr>
        <w:pStyle w:val="ListParagraph"/>
        <w:numPr>
          <w:ilvl w:val="0"/>
          <w:numId w:val="1"/>
        </w:numPr>
        <w:spacing w:after="0" w:line="240" w:lineRule="auto"/>
      </w:pPr>
      <w:r>
        <w:t>Grant 90 day rent deferral ranging from 50%-100%; Tenant then makes it up to Landlord by paying it back over 12 months as additional rent; Tenant to pay NNNs</w:t>
      </w:r>
    </w:p>
    <w:p w14:paraId="7832CE48" w14:textId="77777777" w:rsidR="0089377C" w:rsidRDefault="0089377C" w:rsidP="0089377C">
      <w:pPr>
        <w:pStyle w:val="ListParagraph"/>
        <w:numPr>
          <w:ilvl w:val="0"/>
          <w:numId w:val="1"/>
        </w:numPr>
        <w:spacing w:after="0" w:line="240" w:lineRule="auto"/>
      </w:pPr>
      <w:r>
        <w:t>Provide month to month rent abatement and only charge for CAM, Taxes, Insurance; then make missed rent up over 3-4 months when things pick back up</w:t>
      </w:r>
    </w:p>
    <w:p w14:paraId="50208C47" w14:textId="77777777" w:rsidR="0089377C" w:rsidRDefault="0089377C" w:rsidP="0089377C">
      <w:pPr>
        <w:pStyle w:val="ListParagraph"/>
        <w:numPr>
          <w:ilvl w:val="0"/>
          <w:numId w:val="1"/>
        </w:numPr>
        <w:spacing w:after="0" w:line="240" w:lineRule="auto"/>
      </w:pPr>
      <w:r>
        <w:t>Provide month to month rent abatement and add it on end of term</w:t>
      </w:r>
    </w:p>
    <w:p w14:paraId="0BB25DD5" w14:textId="77777777" w:rsidR="0089377C" w:rsidRDefault="0089377C" w:rsidP="0089377C">
      <w:pPr>
        <w:pStyle w:val="ListParagraph"/>
        <w:numPr>
          <w:ilvl w:val="0"/>
          <w:numId w:val="1"/>
        </w:numPr>
        <w:spacing w:after="0" w:line="240" w:lineRule="auto"/>
      </w:pPr>
      <w:r>
        <w:t>For short term leases, grant 2-3 free months in exchange for 1-2 years of term on the back end</w:t>
      </w:r>
    </w:p>
    <w:p w14:paraId="54C66648" w14:textId="77777777" w:rsidR="0089377C" w:rsidRDefault="0089377C" w:rsidP="0089377C">
      <w:pPr>
        <w:pStyle w:val="ListParagraph"/>
        <w:numPr>
          <w:ilvl w:val="0"/>
          <w:numId w:val="1"/>
        </w:numPr>
        <w:spacing w:after="0" w:line="240" w:lineRule="auto"/>
      </w:pPr>
      <w:r>
        <w:t>Move to percentage rent until business resumes as usual (my least recommendation)</w:t>
      </w:r>
    </w:p>
    <w:p w14:paraId="5A4EB0F2" w14:textId="77777777" w:rsidR="0089377C" w:rsidRDefault="0089377C" w:rsidP="0089377C">
      <w:pPr>
        <w:pStyle w:val="ListParagraph"/>
        <w:spacing w:after="0" w:line="240" w:lineRule="auto"/>
      </w:pPr>
      <w:r>
        <w:t> </w:t>
      </w:r>
    </w:p>
    <w:p w14:paraId="17E7171F" w14:textId="77777777" w:rsidR="0089377C" w:rsidRDefault="0089377C" w:rsidP="0089377C">
      <w:r>
        <w:rPr>
          <w:u w:val="single"/>
        </w:rPr>
        <w:t>Tenants Sending Out Mass Letters:</w:t>
      </w:r>
    </w:p>
    <w:p w14:paraId="176EC69F" w14:textId="77777777" w:rsidR="0089377C" w:rsidRDefault="0089377C" w:rsidP="0089377C">
      <w:pPr>
        <w:pStyle w:val="ListParagraph"/>
        <w:numPr>
          <w:ilvl w:val="0"/>
          <w:numId w:val="2"/>
        </w:numPr>
        <w:spacing w:after="0" w:line="240" w:lineRule="auto"/>
      </w:pPr>
      <w:r>
        <w:t>LA Fitness</w:t>
      </w:r>
    </w:p>
    <w:p w14:paraId="0FC68ABF" w14:textId="77777777" w:rsidR="0089377C" w:rsidRDefault="0089377C" w:rsidP="0089377C">
      <w:pPr>
        <w:pStyle w:val="ListParagraph"/>
        <w:numPr>
          <w:ilvl w:val="0"/>
          <w:numId w:val="2"/>
        </w:numPr>
        <w:spacing w:after="0" w:line="240" w:lineRule="auto"/>
      </w:pPr>
      <w:r>
        <w:t>Michaels</w:t>
      </w:r>
    </w:p>
    <w:p w14:paraId="4EC571B7" w14:textId="77777777" w:rsidR="0089377C" w:rsidRDefault="0089377C" w:rsidP="0089377C">
      <w:pPr>
        <w:pStyle w:val="ListParagraph"/>
        <w:numPr>
          <w:ilvl w:val="0"/>
          <w:numId w:val="2"/>
        </w:numPr>
        <w:spacing w:after="0" w:line="240" w:lineRule="auto"/>
      </w:pPr>
      <w:r>
        <w:t>Ross</w:t>
      </w:r>
    </w:p>
    <w:p w14:paraId="07A85964" w14:textId="77777777" w:rsidR="0089377C" w:rsidRDefault="0089377C" w:rsidP="0089377C">
      <w:pPr>
        <w:pStyle w:val="ListParagraph"/>
        <w:numPr>
          <w:ilvl w:val="0"/>
          <w:numId w:val="2"/>
        </w:numPr>
        <w:spacing w:after="0" w:line="240" w:lineRule="auto"/>
      </w:pPr>
      <w:r>
        <w:t>TJ Maxx</w:t>
      </w:r>
    </w:p>
    <w:p w14:paraId="400A4567" w14:textId="77777777" w:rsidR="0089377C" w:rsidRDefault="0089377C" w:rsidP="00BF6E7C">
      <w:pPr>
        <w:pStyle w:val="ListParagraph"/>
        <w:numPr>
          <w:ilvl w:val="0"/>
          <w:numId w:val="2"/>
        </w:numPr>
        <w:spacing w:after="0" w:line="240" w:lineRule="auto"/>
      </w:pPr>
      <w:r>
        <w:t>Restaurant Franchisees (</w:t>
      </w:r>
      <w:proofErr w:type="gramStart"/>
      <w:r>
        <w:t>90 day</w:t>
      </w:r>
      <w:proofErr w:type="gramEnd"/>
      <w:r>
        <w:t xml:space="preserve"> requests)</w:t>
      </w:r>
    </w:p>
    <w:p w14:paraId="46F70366" w14:textId="3BBC40AF" w:rsidR="0089377C" w:rsidRDefault="0089377C" w:rsidP="00BF6E7C">
      <w:pPr>
        <w:pStyle w:val="ListParagraph"/>
        <w:numPr>
          <w:ilvl w:val="0"/>
          <w:numId w:val="2"/>
        </w:numPr>
        <w:spacing w:after="0" w:line="240" w:lineRule="auto"/>
      </w:pPr>
      <w:bookmarkStart w:id="0" w:name="_GoBack"/>
      <w:bookmarkEnd w:id="0"/>
      <w:r>
        <w:t> </w:t>
      </w:r>
    </w:p>
    <w:p w14:paraId="0D4A4CA1" w14:textId="77777777" w:rsidR="0089377C" w:rsidRDefault="0089377C" w:rsidP="0089377C">
      <w:r>
        <w:rPr>
          <w:u w:val="single"/>
        </w:rPr>
        <w:t>Tenants Requesting on Case by Case Basis:</w:t>
      </w:r>
    </w:p>
    <w:p w14:paraId="766A7787" w14:textId="77777777" w:rsidR="0089377C" w:rsidRDefault="0089377C" w:rsidP="0089377C">
      <w:pPr>
        <w:pStyle w:val="ListParagraph"/>
        <w:numPr>
          <w:ilvl w:val="0"/>
          <w:numId w:val="3"/>
        </w:numPr>
        <w:spacing w:after="0" w:line="240" w:lineRule="auto"/>
      </w:pPr>
      <w:proofErr w:type="spellStart"/>
      <w:r>
        <w:t>Zaxby’s</w:t>
      </w:r>
      <w:proofErr w:type="spellEnd"/>
    </w:p>
    <w:p w14:paraId="6D787B57" w14:textId="77777777" w:rsidR="0089377C" w:rsidRDefault="0089377C" w:rsidP="0089377C">
      <w:pPr>
        <w:pStyle w:val="ListParagraph"/>
        <w:numPr>
          <w:ilvl w:val="0"/>
          <w:numId w:val="3"/>
        </w:numPr>
        <w:spacing w:after="0" w:line="240" w:lineRule="auto"/>
      </w:pPr>
      <w:r>
        <w:t>Planet Fitness franchisees</w:t>
      </w:r>
    </w:p>
    <w:p w14:paraId="422097D7" w14:textId="77777777" w:rsidR="0089377C" w:rsidRDefault="0089377C" w:rsidP="0089377C">
      <w:pPr>
        <w:pStyle w:val="ListParagraph"/>
        <w:numPr>
          <w:ilvl w:val="0"/>
          <w:numId w:val="3"/>
        </w:numPr>
        <w:spacing w:after="0" w:line="240" w:lineRule="auto"/>
      </w:pPr>
      <w:r>
        <w:t>Gordmans asking for monthly rent abatement and 50% discount on CAM</w:t>
      </w:r>
    </w:p>
    <w:p w14:paraId="776DE7D9" w14:textId="77777777" w:rsidR="0089377C" w:rsidRDefault="0089377C" w:rsidP="0089377C">
      <w:pPr>
        <w:pStyle w:val="ListParagraph"/>
        <w:numPr>
          <w:ilvl w:val="0"/>
          <w:numId w:val="3"/>
        </w:numPr>
        <w:spacing w:after="0" w:line="240" w:lineRule="auto"/>
      </w:pPr>
      <w:r>
        <w:t>Take 5 Oil Change</w:t>
      </w:r>
    </w:p>
    <w:p w14:paraId="4E645A61" w14:textId="77777777" w:rsidR="0089377C" w:rsidRDefault="0089377C" w:rsidP="0089377C">
      <w:pPr>
        <w:pStyle w:val="ListParagraph"/>
        <w:numPr>
          <w:ilvl w:val="0"/>
          <w:numId w:val="3"/>
        </w:numPr>
        <w:spacing w:after="0" w:line="240" w:lineRule="auto"/>
      </w:pPr>
      <w:r>
        <w:t>Mattress Firm (90 days)</w:t>
      </w:r>
    </w:p>
    <w:p w14:paraId="7AEC2077" w14:textId="77777777" w:rsidR="0089377C" w:rsidRDefault="0089377C" w:rsidP="0089377C">
      <w:pPr>
        <w:pStyle w:val="ListParagraph"/>
        <w:numPr>
          <w:ilvl w:val="0"/>
          <w:numId w:val="3"/>
        </w:numPr>
        <w:spacing w:after="0" w:line="240" w:lineRule="auto"/>
      </w:pPr>
      <w:r>
        <w:t>Vitamin Shoppe (90 days)</w:t>
      </w:r>
    </w:p>
    <w:p w14:paraId="4FA65E48" w14:textId="77777777" w:rsidR="0089377C" w:rsidRDefault="0089377C" w:rsidP="0089377C">
      <w:pPr>
        <w:pStyle w:val="ListParagraph"/>
        <w:numPr>
          <w:ilvl w:val="0"/>
          <w:numId w:val="3"/>
        </w:numPr>
        <w:spacing w:after="0" w:line="240" w:lineRule="auto"/>
      </w:pPr>
      <w:r>
        <w:t>Sports Clips (90 days)</w:t>
      </w:r>
    </w:p>
    <w:p w14:paraId="3C7BBD1C" w14:textId="77777777" w:rsidR="0089377C" w:rsidRDefault="0089377C" w:rsidP="0089377C">
      <w:pPr>
        <w:pStyle w:val="ListParagraph"/>
        <w:numPr>
          <w:ilvl w:val="0"/>
          <w:numId w:val="3"/>
        </w:numPr>
        <w:spacing w:after="0" w:line="240" w:lineRule="auto"/>
      </w:pPr>
      <w:r>
        <w:lastRenderedPageBreak/>
        <w:t>IHOP (90 days)</w:t>
      </w:r>
    </w:p>
    <w:p w14:paraId="7212A38D" w14:textId="77777777" w:rsidR="0089377C" w:rsidRDefault="0089377C" w:rsidP="0089377C">
      <w:pPr>
        <w:pStyle w:val="ListParagraph"/>
        <w:numPr>
          <w:ilvl w:val="0"/>
          <w:numId w:val="3"/>
        </w:numPr>
        <w:spacing w:after="0" w:line="240" w:lineRule="auto"/>
      </w:pPr>
      <w:r>
        <w:t>Ruby Tuesday (90 days)</w:t>
      </w:r>
    </w:p>
    <w:p w14:paraId="501943E5" w14:textId="77777777" w:rsidR="0089377C" w:rsidRDefault="0089377C" w:rsidP="0089377C">
      <w:pPr>
        <w:pStyle w:val="ListParagraph"/>
        <w:numPr>
          <w:ilvl w:val="0"/>
          <w:numId w:val="3"/>
        </w:numPr>
        <w:spacing w:after="0" w:line="240" w:lineRule="auto"/>
      </w:pPr>
      <w:r>
        <w:t>Jimmy Johns (60 days)</w:t>
      </w:r>
    </w:p>
    <w:p w14:paraId="744E82C7" w14:textId="77777777" w:rsidR="0089377C" w:rsidRDefault="0089377C" w:rsidP="0089377C">
      <w:r>
        <w:t> </w:t>
      </w:r>
    </w:p>
    <w:p w14:paraId="02FBFD4A" w14:textId="77777777" w:rsidR="0089377C" w:rsidRDefault="0089377C" w:rsidP="0089377C">
      <w:r>
        <w:rPr>
          <w:u w:val="single"/>
        </w:rPr>
        <w:t>Tenants Not Asking Yet:</w:t>
      </w:r>
    </w:p>
    <w:p w14:paraId="1830B011" w14:textId="77777777" w:rsidR="0089377C" w:rsidRDefault="0089377C" w:rsidP="0089377C">
      <w:pPr>
        <w:pStyle w:val="ListParagraph"/>
        <w:numPr>
          <w:ilvl w:val="0"/>
          <w:numId w:val="4"/>
        </w:numPr>
        <w:spacing w:after="0" w:line="240" w:lineRule="auto"/>
      </w:pPr>
      <w:r>
        <w:t>Starbucks</w:t>
      </w:r>
    </w:p>
    <w:p w14:paraId="1EDF27CA" w14:textId="77777777" w:rsidR="0089377C" w:rsidRDefault="0089377C" w:rsidP="0089377C">
      <w:pPr>
        <w:pStyle w:val="ListParagraph"/>
        <w:numPr>
          <w:ilvl w:val="0"/>
          <w:numId w:val="4"/>
        </w:numPr>
        <w:spacing w:after="0" w:line="240" w:lineRule="auto"/>
      </w:pPr>
      <w:r>
        <w:t>Aspen Dental</w:t>
      </w:r>
    </w:p>
    <w:p w14:paraId="72062FEB" w14:textId="77777777" w:rsidR="0089377C" w:rsidRDefault="0089377C" w:rsidP="0089377C">
      <w:pPr>
        <w:pStyle w:val="ListParagraph"/>
        <w:numPr>
          <w:ilvl w:val="0"/>
          <w:numId w:val="4"/>
        </w:numPr>
        <w:spacing w:after="0" w:line="240" w:lineRule="auto"/>
      </w:pPr>
      <w:r>
        <w:t>Dollar Tree</w:t>
      </w:r>
    </w:p>
    <w:p w14:paraId="72694BC5" w14:textId="77777777" w:rsidR="0089377C" w:rsidRDefault="0089377C" w:rsidP="0089377C">
      <w:r>
        <w:t> </w:t>
      </w:r>
    </w:p>
    <w:p w14:paraId="4C8CB914" w14:textId="77777777" w:rsidR="0089377C" w:rsidRDefault="0089377C" w:rsidP="0089377C">
      <w:r>
        <w:rPr>
          <w:u w:val="single"/>
        </w:rPr>
        <w:t>General:</w:t>
      </w:r>
    </w:p>
    <w:p w14:paraId="4DA51F7D" w14:textId="77777777" w:rsidR="0089377C" w:rsidRDefault="0089377C" w:rsidP="0089377C">
      <w:pPr>
        <w:pStyle w:val="ListParagraph"/>
        <w:numPr>
          <w:ilvl w:val="0"/>
          <w:numId w:val="5"/>
        </w:numPr>
        <w:spacing w:after="0" w:line="240" w:lineRule="auto"/>
      </w:pPr>
      <w:r>
        <w:t>Tenant’s looking into Force Majeure clauses in leases</w:t>
      </w:r>
    </w:p>
    <w:p w14:paraId="52B5D57A" w14:textId="77777777" w:rsidR="0089377C" w:rsidRDefault="0089377C" w:rsidP="0089377C">
      <w:pPr>
        <w:pStyle w:val="ListParagraph"/>
        <w:numPr>
          <w:ilvl w:val="1"/>
          <w:numId w:val="5"/>
        </w:numPr>
        <w:spacing w:after="0" w:line="240" w:lineRule="auto"/>
      </w:pPr>
      <w:r>
        <w:t>Some specifically state government shutdown does not trigger; others are vague</w:t>
      </w:r>
    </w:p>
    <w:p w14:paraId="24CB85B5" w14:textId="77777777" w:rsidR="0089377C" w:rsidRDefault="0089377C" w:rsidP="0089377C">
      <w:pPr>
        <w:pStyle w:val="ListParagraph"/>
        <w:numPr>
          <w:ilvl w:val="0"/>
          <w:numId w:val="5"/>
        </w:numPr>
        <w:spacing w:after="0" w:line="240" w:lineRule="auto"/>
      </w:pPr>
      <w:r>
        <w:t>National Restaurant Franchisors are getting hit hard on Franchisees not wanting to pay their royalty fees</w:t>
      </w:r>
    </w:p>
    <w:p w14:paraId="2ED5492C" w14:textId="77777777" w:rsidR="0089377C" w:rsidRDefault="0089377C" w:rsidP="0089377C">
      <w:pPr>
        <w:pStyle w:val="ListParagraph"/>
        <w:numPr>
          <w:ilvl w:val="0"/>
          <w:numId w:val="5"/>
        </w:numPr>
        <w:spacing w:after="0" w:line="240" w:lineRule="auto"/>
      </w:pPr>
      <w:r>
        <w:t xml:space="preserve">Restaurants with drive thru </w:t>
      </w:r>
      <w:proofErr w:type="spellStart"/>
      <w:r>
        <w:t>window’s</w:t>
      </w:r>
      <w:proofErr w:type="spellEnd"/>
      <w:r>
        <w:t xml:space="preserve"> are typically down 20-30% on an overall basis; restaurants with no drive thru are down 80-95%. </w:t>
      </w:r>
    </w:p>
    <w:p w14:paraId="4764DD59" w14:textId="77777777" w:rsidR="0089377C" w:rsidRDefault="0089377C" w:rsidP="0089377C">
      <w:pPr>
        <w:shd w:val="clear" w:color="auto" w:fill="FFFFFF"/>
      </w:pPr>
      <w:r>
        <w:rPr>
          <w:color w:val="000000"/>
        </w:rPr>
        <w:t> </w:t>
      </w:r>
    </w:p>
    <w:p w14:paraId="038C7A4D" w14:textId="77777777" w:rsidR="0089377C" w:rsidRDefault="0089377C" w:rsidP="0089377C">
      <w:pPr>
        <w:shd w:val="clear" w:color="auto" w:fill="FFFFFF"/>
      </w:pPr>
      <w:r>
        <w:rPr>
          <w:color w:val="000000"/>
        </w:rPr>
        <w:t> </w:t>
      </w:r>
    </w:p>
    <w:p w14:paraId="3F3C7CB7" w14:textId="77777777" w:rsidR="0089377C" w:rsidRDefault="0089377C" w:rsidP="0089377C">
      <w:pPr>
        <w:shd w:val="clear" w:color="auto" w:fill="FFFFFF"/>
      </w:pPr>
      <w:r>
        <w:rPr>
          <w:b/>
          <w:bCs/>
          <w:color w:val="000000"/>
        </w:rPr>
        <w:t>Tom Fritz</w:t>
      </w:r>
    </w:p>
    <w:p w14:paraId="0E8960C9" w14:textId="77777777" w:rsidR="0089377C" w:rsidRDefault="0089377C" w:rsidP="0089377C">
      <w:pPr>
        <w:shd w:val="clear" w:color="auto" w:fill="FFFFFF"/>
      </w:pPr>
      <w:r>
        <w:rPr>
          <w:color w:val="000000"/>
        </w:rPr>
        <w:t>Partner</w:t>
      </w:r>
    </w:p>
    <w:p w14:paraId="4752AC80" w14:textId="77777777" w:rsidR="0089377C" w:rsidRDefault="0089377C" w:rsidP="0089377C">
      <w:pPr>
        <w:shd w:val="clear" w:color="auto" w:fill="FFFFFF"/>
      </w:pPr>
      <w:r>
        <w:rPr>
          <w:color w:val="757B80"/>
        </w:rPr>
        <w:t xml:space="preserve">Stan Johnson </w:t>
      </w:r>
      <w:proofErr w:type="gramStart"/>
      <w:r>
        <w:rPr>
          <w:color w:val="757B80"/>
        </w:rPr>
        <w:t>Company  |</w:t>
      </w:r>
      <w:proofErr w:type="gramEnd"/>
      <w:r>
        <w:rPr>
          <w:color w:val="757B80"/>
        </w:rPr>
        <w:t xml:space="preserve">  303 E. Wacker Drive, Suite 1111  |  Chicago, Illinois 60601</w:t>
      </w:r>
    </w:p>
    <w:p w14:paraId="49B08E28" w14:textId="77777777" w:rsidR="0089377C" w:rsidRDefault="0089377C" w:rsidP="0089377C">
      <w:pPr>
        <w:shd w:val="clear" w:color="auto" w:fill="FFFFFF"/>
      </w:pPr>
      <w:r>
        <w:rPr>
          <w:b/>
          <w:bCs/>
          <w:color w:val="757B80"/>
        </w:rPr>
        <w:t>D:</w:t>
      </w:r>
      <w:r>
        <w:rPr>
          <w:color w:val="757B80"/>
        </w:rPr>
        <w:t> (312) 777-2445  |  </w:t>
      </w:r>
      <w:r>
        <w:rPr>
          <w:b/>
          <w:bCs/>
          <w:color w:val="757B80"/>
        </w:rPr>
        <w:t>C:</w:t>
      </w:r>
      <w:r>
        <w:rPr>
          <w:color w:val="757B80"/>
        </w:rPr>
        <w:t> </w:t>
      </w:r>
      <w:r>
        <w:rPr>
          <w:color w:val="757B80"/>
          <w:shd w:val="clear" w:color="auto" w:fill="FFFFFF"/>
        </w:rPr>
        <w:t>(847) 347-9988</w:t>
      </w:r>
      <w:r>
        <w:rPr>
          <w:color w:val="757B80"/>
        </w:rPr>
        <w:t xml:space="preserve">  |  </w:t>
      </w:r>
      <w:hyperlink r:id="rId5" w:history="1">
        <w:r>
          <w:rPr>
            <w:rStyle w:val="Hyperlink"/>
          </w:rPr>
          <w:t>tfritz@stanjohnsonco.com</w:t>
        </w:r>
      </w:hyperlink>
    </w:p>
    <w:p w14:paraId="154A5E57" w14:textId="77777777" w:rsidR="0089377C" w:rsidRDefault="0089377C" w:rsidP="0089377C">
      <w:pPr>
        <w:shd w:val="clear" w:color="auto" w:fill="FFFFFF"/>
      </w:pPr>
      <w:hyperlink r:id="rId6" w:tgtFrame="_blank" w:history="1">
        <w:r>
          <w:rPr>
            <w:rStyle w:val="Hyperlink"/>
            <w:color w:val="757B80"/>
          </w:rPr>
          <w:t>Website</w:t>
        </w:r>
      </w:hyperlink>
    </w:p>
    <w:p w14:paraId="6111DFDC" w14:textId="77777777" w:rsidR="0089377C" w:rsidRDefault="0089377C" w:rsidP="0089377C">
      <w:pPr>
        <w:shd w:val="clear" w:color="auto" w:fill="FFFFFF"/>
      </w:pPr>
      <w:r>
        <w:rPr>
          <w:color w:val="000000"/>
        </w:rPr>
        <w:t> </w:t>
      </w:r>
    </w:p>
    <w:p w14:paraId="05C5D3DE" w14:textId="387FFEA8" w:rsidR="0089377C" w:rsidRDefault="0089377C" w:rsidP="0089377C">
      <w:pPr>
        <w:shd w:val="clear" w:color="auto" w:fill="FFFFFF"/>
      </w:pPr>
      <w:r>
        <w:rPr>
          <w:color w:val="000000"/>
        </w:rPr>
        <w:t>​</w:t>
      </w:r>
      <w:hyperlink r:id="rId7" w:tooltip="&lt;img originalsrc=&quot;cid:d23da850-69e6-4398-98ca-c93fab95dc5d&quot; src=&quot;service.svc/s/GetFileAttachment?id=AAMkAGY2MjRhM2Y2LTQ1OGQtNDY4Ny05MGQ4LTJhYzY3Nzc5ZWMyOQBGAAAAAAD26RgnQJ2zTKZbz8fLvRYwBwBO56FdSvabSJYm1pVbf7jiAAAAAAEPAABO56FdSvabSJYm1pVbf7jiAACXOEdKAAABEgA" w:history="1">
        <w:r>
          <w:rPr>
            <w:noProof/>
            <w:color w:val="0000FF"/>
          </w:rPr>
          <w:drawing>
            <wp:inline distT="0" distB="0" distL="0" distR="0" wp14:anchorId="70639F75" wp14:editId="61C75E78">
              <wp:extent cx="1905000" cy="428625"/>
              <wp:effectExtent l="0" t="0" r="0" b="9525"/>
              <wp:docPr id="1" name="Picture 1" descr="cid:d23da850-69e6-4398-98ca-c93fab95dc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23da850-69e6-4398-98ca-c93fab95dc5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r>
          <w:rPr>
            <w:rStyle w:val="Hyperlink"/>
          </w:rPr>
          <w:t>​</w:t>
        </w:r>
      </w:hyperlink>
    </w:p>
    <w:p w14:paraId="15E000BE" w14:textId="77777777" w:rsidR="0089377C" w:rsidRPr="0089377C" w:rsidRDefault="0089377C" w:rsidP="0089377C">
      <w:pPr>
        <w:pStyle w:val="NoSpacing"/>
      </w:pPr>
    </w:p>
    <w:sectPr w:rsidR="0089377C" w:rsidRPr="00893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10E4"/>
    <w:multiLevelType w:val="hybridMultilevel"/>
    <w:tmpl w:val="81A8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2D1DB3"/>
    <w:multiLevelType w:val="hybridMultilevel"/>
    <w:tmpl w:val="1D78C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7A10E2"/>
    <w:multiLevelType w:val="hybridMultilevel"/>
    <w:tmpl w:val="CF10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312584"/>
    <w:multiLevelType w:val="hybridMultilevel"/>
    <w:tmpl w:val="D56AF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403F12"/>
    <w:multiLevelType w:val="hybridMultilevel"/>
    <w:tmpl w:val="7910C8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7C"/>
    <w:rsid w:val="0009318D"/>
    <w:rsid w:val="004A7BA0"/>
    <w:rsid w:val="0089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9E06"/>
  <w15:chartTrackingRefBased/>
  <w15:docId w15:val="{B996FD4E-8C8B-48AC-8D9C-B58752D9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77C"/>
    <w:pPr>
      <w:spacing w:after="0" w:line="240" w:lineRule="auto"/>
    </w:pPr>
  </w:style>
  <w:style w:type="character" w:styleId="Hyperlink">
    <w:name w:val="Hyperlink"/>
    <w:basedOn w:val="DefaultParagraphFont"/>
    <w:uiPriority w:val="99"/>
    <w:semiHidden/>
    <w:unhideWhenUsed/>
    <w:rsid w:val="0089377C"/>
    <w:rPr>
      <w:color w:val="0000FF"/>
      <w:u w:val="single"/>
    </w:rPr>
  </w:style>
  <w:style w:type="paragraph" w:styleId="ListParagraph">
    <w:name w:val="List Paragraph"/>
    <w:basedOn w:val="Normal"/>
    <w:uiPriority w:val="34"/>
    <w:qFormat/>
    <w:rsid w:val="0089377C"/>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7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urldefense.proofpoint.com/v2/url?u=http-3A__www.stanjohnsonco.com_&amp;d=DwMGaQ&amp;c=euGZstcaTDllvimEN8b7jXrwqOf-v5A_CdpgnVfiiMM&amp;r=YirIGe15AA03f_B4MgvYkt2TfYEm8Ig0YXsN3IxOj4E&amp;m=IXSP2QvtYQvxxFZSFMRk0kk3iLFhA90hFTI10c7q31k&amp;s=VBww_60ShVtno8l87YbfHwFvLlzz3WS_cH9Da3KEO_Q&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www.stanjohnsonco.com_&amp;d=DwMGaQ&amp;c=euGZstcaTDllvimEN8b7jXrwqOf-v5A_CdpgnVfiiMM&amp;r=YirIGe15AA03f_B4MgvYkt2TfYEm8Ig0YXsN3IxOj4E&amp;m=IXSP2QvtYQvxxFZSFMRk0kk3iLFhA90hFTI10c7q31k&amp;s=VBww_60ShVtno8l87YbfHwFvLlzz3WS_cH9Da3KEO_Q&amp;e=" TargetMode="External"/><Relationship Id="rId11" Type="http://schemas.openxmlformats.org/officeDocument/2006/relationships/theme" Target="theme/theme1.xml"/><Relationship Id="rId5" Type="http://schemas.openxmlformats.org/officeDocument/2006/relationships/hyperlink" Target="mailto:tfritz@stanjohnsonc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60280.107E2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Baumann</dc:creator>
  <cp:keywords/>
  <dc:description/>
  <cp:lastModifiedBy>Matthew D. Baumann</cp:lastModifiedBy>
  <cp:revision>1</cp:revision>
  <dcterms:created xsi:type="dcterms:W3CDTF">2020-03-25T23:41:00Z</dcterms:created>
  <dcterms:modified xsi:type="dcterms:W3CDTF">2020-03-25T23:43:00Z</dcterms:modified>
</cp:coreProperties>
</file>